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30" w:rsidRPr="00787BF1" w:rsidRDefault="00E17D30" w:rsidP="00E17D30">
      <w:pPr>
        <w:pStyle w:val="Heading2"/>
      </w:pPr>
      <w:bookmarkStart w:id="0" w:name="_Toc155342856"/>
      <w:bookmarkStart w:id="1" w:name="_GoBack"/>
      <w:r w:rsidRPr="00787BF1">
        <w:rPr>
          <w:b/>
          <w:sz w:val="24"/>
        </w:rPr>
        <w:t>178. LUẬT ĐẤT ĐAI</w:t>
      </w:r>
      <w:bookmarkEnd w:id="1"/>
      <w:r w:rsidRPr="00787BF1">
        <w:t xml:space="preserve">, </w:t>
      </w:r>
      <w:proofErr w:type="spellStart"/>
      <w:r w:rsidRPr="00787BF1">
        <w:rPr>
          <w:lang w:eastAsia="vi-VN"/>
        </w:rPr>
        <w:t>ngành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trong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thống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quốc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bao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gồm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tổng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phạm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do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 ban </w:t>
      </w:r>
      <w:proofErr w:type="spellStart"/>
      <w:r w:rsidRPr="00787BF1">
        <w:rPr>
          <w:lang w:eastAsia="vi-VN"/>
        </w:rPr>
        <w:t>hành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hoặc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thừa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nhận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nhằm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điều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chỉ</w:t>
      </w:r>
      <w:r>
        <w:rPr>
          <w:lang w:eastAsia="vi-VN"/>
        </w:rPr>
        <w:t>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những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xã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 </w:t>
      </w:r>
      <w:proofErr w:type="spellStart"/>
      <w:r w:rsidRPr="00787BF1">
        <w:t>phát</w:t>
      </w:r>
      <w:proofErr w:type="spellEnd"/>
      <w:r w:rsidRPr="00787BF1">
        <w:t xml:space="preserve"> </w:t>
      </w:r>
      <w:proofErr w:type="spellStart"/>
      <w:r w:rsidRPr="00787BF1">
        <w:t>sinh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quá</w:t>
      </w:r>
      <w:proofErr w:type="spellEnd"/>
      <w:r w:rsidRPr="00787BF1">
        <w:t xml:space="preserve"> </w:t>
      </w:r>
      <w:proofErr w:type="spellStart"/>
      <w:r w:rsidRPr="00787BF1">
        <w:t>trình</w:t>
      </w:r>
      <w:proofErr w:type="spellEnd"/>
      <w:r w:rsidRPr="00787BF1">
        <w:t xml:space="preserve"> </w:t>
      </w:r>
      <w:proofErr w:type="spellStart"/>
      <w:r w:rsidRPr="00787BF1">
        <w:t>sở</w:t>
      </w:r>
      <w:proofErr w:type="spellEnd"/>
      <w:r w:rsidRPr="00787BF1">
        <w:t xml:space="preserve"> </w:t>
      </w:r>
      <w:proofErr w:type="spellStart"/>
      <w:r w:rsidRPr="00787BF1">
        <w:t>hữu</w:t>
      </w:r>
      <w:proofErr w:type="spellEnd"/>
      <w:r w:rsidRPr="00787BF1">
        <w:t xml:space="preserve"> </w:t>
      </w:r>
      <w:proofErr w:type="spellStart"/>
      <w:r w:rsidRPr="00787BF1">
        <w:t>đất</w:t>
      </w:r>
      <w:proofErr w:type="spellEnd"/>
      <w:r w:rsidRPr="00787BF1">
        <w:t xml:space="preserve"> </w:t>
      </w:r>
      <w:proofErr w:type="spellStart"/>
      <w:r w:rsidRPr="00787BF1">
        <w:t>đai</w:t>
      </w:r>
      <w:proofErr w:type="spellEnd"/>
      <w:r w:rsidRPr="00787BF1">
        <w:t xml:space="preserve">, </w:t>
      </w:r>
      <w:proofErr w:type="spellStart"/>
      <w:r w:rsidRPr="00787BF1">
        <w:t>quản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 </w:t>
      </w:r>
      <w:proofErr w:type="spellStart"/>
      <w:r w:rsidRPr="00787BF1">
        <w:t>đất</w:t>
      </w:r>
      <w:proofErr w:type="spellEnd"/>
      <w:r w:rsidRPr="00787BF1">
        <w:t xml:space="preserve"> </w:t>
      </w:r>
      <w:proofErr w:type="spellStart"/>
      <w:r w:rsidRPr="00787BF1">
        <w:t>đai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sử</w:t>
      </w:r>
      <w:proofErr w:type="spellEnd"/>
      <w:r w:rsidRPr="00787BF1">
        <w:t xml:space="preserve"> </w:t>
      </w:r>
      <w:proofErr w:type="spellStart"/>
      <w:r w:rsidRPr="00787BF1">
        <w:t>dụng</w:t>
      </w:r>
      <w:proofErr w:type="spellEnd"/>
      <w:r w:rsidRPr="00787BF1">
        <w:t xml:space="preserve"> </w:t>
      </w:r>
      <w:proofErr w:type="spellStart"/>
      <w:r w:rsidRPr="00787BF1">
        <w:t>đất</w:t>
      </w:r>
      <w:proofErr w:type="spellEnd"/>
      <w:r w:rsidRPr="00787BF1">
        <w:t xml:space="preserve"> </w:t>
      </w:r>
      <w:proofErr w:type="spellStart"/>
      <w:r w:rsidRPr="00787BF1">
        <w:t>đai</w:t>
      </w:r>
      <w:proofErr w:type="spellEnd"/>
      <w:r w:rsidRPr="00787BF1">
        <w:t>.</w:t>
      </w:r>
      <w:bookmarkEnd w:id="0"/>
      <w:r w:rsidRPr="00787BF1">
        <w:t xml:space="preserve">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bang,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, LĐĐ… </w:t>
      </w:r>
      <w:proofErr w:type="spellStart"/>
      <w:r w:rsidRPr="00787BF1">
        <w:rPr>
          <w:szCs w:val="28"/>
        </w:rPr>
        <w:t>Dù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gọi</w:t>
      </w:r>
      <w:proofErr w:type="spellEnd"/>
      <w:r w:rsidRPr="00787BF1">
        <w:rPr>
          <w:szCs w:val="28"/>
        </w:rPr>
        <w:t xml:space="preserve">, song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hầu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nhóm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ấy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chuyển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LĐĐ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>: LĐĐ 987; LĐĐ 1993 (</w:t>
      </w:r>
      <w:proofErr w:type="spellStart"/>
      <w:r w:rsidRPr="00787BF1">
        <w:rPr>
          <w:szCs w:val="28"/>
        </w:rPr>
        <w:t>sửa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1998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2001)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; LĐĐ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2003 (</w:t>
      </w:r>
      <w:proofErr w:type="spellStart"/>
      <w:r w:rsidRPr="00787BF1">
        <w:rPr>
          <w:szCs w:val="28"/>
        </w:rPr>
        <w:t>sửa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2009)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; LĐĐ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2013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LĐĐ qua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, song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LĐĐ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LĐĐ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hữu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hoạch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LĐĐ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nhóm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1)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; 2)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; 3)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; 4)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; 5)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LĐĐ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nhóm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. 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THỊ NGA</w:t>
      </w:r>
    </w:p>
    <w:p w:rsidR="00E17D30" w:rsidRPr="00787BF1" w:rsidRDefault="00E17D30" w:rsidP="00E17D30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E17D30" w:rsidRPr="00787BF1" w:rsidRDefault="00E17D30" w:rsidP="00E17D30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Đất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đai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2016.</w:t>
      </w:r>
    </w:p>
    <w:p w:rsidR="00E17D30" w:rsidRPr="00787BF1" w:rsidRDefault="00E17D30" w:rsidP="00E17D30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r w:rsidRPr="00787BF1">
        <w:rPr>
          <w:sz w:val="24"/>
          <w:szCs w:val="24"/>
        </w:rPr>
        <w:t xml:space="preserve">Barclay </w:t>
      </w:r>
      <w:proofErr w:type="spellStart"/>
      <w:r w:rsidRPr="00787BF1">
        <w:rPr>
          <w:sz w:val="24"/>
          <w:szCs w:val="24"/>
        </w:rPr>
        <w:t>Littlewood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Intraduction</w:t>
      </w:r>
      <w:proofErr w:type="spellEnd"/>
      <w:r w:rsidRPr="00787BF1">
        <w:rPr>
          <w:i/>
          <w:sz w:val="24"/>
          <w:szCs w:val="24"/>
        </w:rPr>
        <w:t xml:space="preserve"> to Land Law</w:t>
      </w:r>
      <w:r w:rsidRPr="00787BF1">
        <w:rPr>
          <w:sz w:val="24"/>
          <w:szCs w:val="24"/>
        </w:rPr>
        <w:t>, 2003.</w:t>
      </w:r>
    </w:p>
    <w:p w:rsidR="00E17D30" w:rsidRPr="00787BF1" w:rsidRDefault="00E17D30" w:rsidP="00E17D30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quản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lý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sử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dụng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đất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đai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của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cộng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hòa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nhân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Trung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1988.</w:t>
      </w:r>
    </w:p>
    <w:p w:rsidR="00E17D30" w:rsidRPr="00787BF1" w:rsidRDefault="00E17D30" w:rsidP="00E17D30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Đạo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Sở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hữu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của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Kỳ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1952.</w:t>
      </w:r>
    </w:p>
    <w:p w:rsidR="00E17D30" w:rsidRPr="00787BF1" w:rsidRDefault="00E17D30" w:rsidP="00E17D30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Đạo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sở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hữu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của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Anh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1925.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298A"/>
    <w:multiLevelType w:val="hybridMultilevel"/>
    <w:tmpl w:val="F22AC5E0"/>
    <w:lvl w:ilvl="0" w:tplc="0438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30"/>
    <w:rsid w:val="001324E1"/>
    <w:rsid w:val="005630BE"/>
    <w:rsid w:val="00666C5C"/>
    <w:rsid w:val="00A849F3"/>
    <w:rsid w:val="00E1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8FFC-4738-46D1-9CDE-450133C2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D30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17D30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E17D30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E17D30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2025-12-15T03:53:00Z</dcterms:created>
  <dcterms:modified xsi:type="dcterms:W3CDTF">2025-12-15T03:54:00Z</dcterms:modified>
</cp:coreProperties>
</file>